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b/>
          <w:sz w:val="24"/>
        </w:rPr>
      </w:pPr>
      <w:bookmarkStart w:id="0" w:name="_Hlt450066087"/>
      <w:bookmarkEnd w:id="0"/>
      <w:bookmarkStart w:id="1" w:name="_Hlt450051172"/>
      <w:bookmarkEnd w:id="1"/>
      <w:bookmarkStart w:id="2" w:name="_Hlt450066085"/>
      <w:bookmarkEnd w:id="2"/>
      <w:bookmarkStart w:id="3" w:name="_Hlt450039480"/>
      <w:bookmarkEnd w:id="3"/>
      <w:bookmarkStart w:id="4" w:name="_Hlt448930105"/>
      <w:bookmarkEnd w:id="4"/>
      <w:bookmarkStart w:id="5" w:name="_Hlt449016246"/>
      <w:bookmarkEnd w:id="5"/>
      <w:bookmarkStart w:id="6" w:name="OLE_LINK111"/>
      <w:bookmarkStart w:id="7" w:name="OLE_LINK27"/>
      <w:bookmarkStart w:id="8" w:name="OLE_LINK49"/>
      <w:r>
        <w:rPr>
          <w:b/>
          <w:sz w:val="24"/>
        </w:rPr>
        <w:t>3GPP TSG-RAN WG4 Meeting #</w:t>
      </w:r>
      <w:r>
        <w:rPr>
          <w:rFonts w:hint="eastAsia"/>
          <w:b/>
          <w:sz w:val="24"/>
        </w:rPr>
        <w:t>117</w:t>
      </w:r>
      <w:r>
        <w:rPr>
          <w:b/>
          <w:sz w:val="24"/>
        </w:rPr>
        <w:tab/>
      </w:r>
      <w:r>
        <w:rPr>
          <w:b/>
          <w:sz w:val="24"/>
        </w:rPr>
        <w:t>R4-25</w:t>
      </w:r>
      <w:r>
        <w:rPr>
          <w:rFonts w:hint="eastAsia" w:eastAsia="宋体"/>
          <w:b/>
          <w:sz w:val="24"/>
          <w:lang w:val="en-US" w:eastAsia="zh-CN"/>
        </w:rPr>
        <w:t>21061</w:t>
      </w:r>
      <w:bookmarkStart w:id="11" w:name="_GoBack"/>
      <w:bookmarkEnd w:id="11"/>
    </w:p>
    <w:p>
      <w:pPr>
        <w:pStyle w:val="73"/>
        <w:keepNext/>
        <w:keepLines/>
        <w:pageBreakBefore w:val="0"/>
        <w:widowControl/>
        <w:tabs>
          <w:tab w:val="right" w:pos="9639"/>
        </w:tabs>
        <w:kinsoku/>
        <w:wordWrap/>
        <w:overflowPunct/>
        <w:topLinePunct w:val="0"/>
        <w:autoSpaceDE/>
        <w:autoSpaceDN/>
        <w:bidi w:val="0"/>
        <w:adjustRightInd/>
        <w:snapToGrid/>
        <w:spacing w:after="0"/>
        <w:textAlignment w:val="auto"/>
        <w:rPr>
          <w:b/>
          <w:sz w:val="24"/>
        </w:rPr>
      </w:pPr>
      <w:r>
        <w:rPr>
          <w:rFonts w:hint="eastAsia"/>
          <w:b/>
          <w:sz w:val="24"/>
        </w:rPr>
        <w:t>Dallas</w:t>
      </w:r>
      <w:r>
        <w:rPr>
          <w:b/>
          <w:sz w:val="24"/>
        </w:rPr>
        <w:t xml:space="preserve">, </w:t>
      </w:r>
      <w:r>
        <w:rPr>
          <w:rFonts w:hint="eastAsia"/>
          <w:b/>
          <w:sz w:val="24"/>
        </w:rPr>
        <w:t>US</w:t>
      </w:r>
      <w:r>
        <w:rPr>
          <w:b/>
          <w:sz w:val="24"/>
        </w:rPr>
        <w:t xml:space="preserve">, </w:t>
      </w:r>
      <w:r>
        <w:rPr>
          <w:rFonts w:hint="eastAsia"/>
          <w:b/>
          <w:sz w:val="24"/>
        </w:rPr>
        <w:t xml:space="preserve">17 </w:t>
      </w:r>
      <w:r>
        <w:rPr>
          <w:b/>
          <w:sz w:val="24"/>
        </w:rPr>
        <w:t>–</w:t>
      </w:r>
      <w:r>
        <w:rPr>
          <w:rFonts w:hint="eastAsia"/>
          <w:b/>
          <w:sz w:val="24"/>
        </w:rPr>
        <w:t xml:space="preserve"> 21, </w:t>
      </w:r>
      <w:r>
        <w:rPr>
          <w:b/>
          <w:sz w:val="24"/>
        </w:rPr>
        <w:t>November 2025</w:t>
      </w:r>
    </w:p>
    <w:bookmarkEnd w:id="6"/>
    <w:bookmarkEnd w:id="7"/>
    <w:bookmarkEnd w:id="8"/>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9" w:name="OLE_LINK14"/>
      <w:bookmarkStart w:id="10"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9"/>
      <w:bookmarkEnd w:id="10"/>
      <w:r>
        <w:rPr>
          <w:rStyle w:val="60"/>
          <w:rFonts w:hint="eastAsia"/>
          <w:b/>
          <w:highlight w:val="none"/>
          <w:lang w:val="en-US" w:eastAsia="zh-CN"/>
        </w:rPr>
        <w:t xml:space="preserve"> IoT-NTN PC1.5 single Tx</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7.6.3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109</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HPUE for NTN</w:t>
      </w:r>
      <w:r>
        <w:rPr>
          <w:rFonts w:hint="default"/>
          <w:i w:val="0"/>
          <w:iCs w:val="0"/>
          <w:sz w:val="20"/>
          <w:szCs w:val="20"/>
          <w:lang w:val="en-US" w:eastAsia="zh-CN"/>
        </w:rPr>
        <w:t xml:space="preserve"> </w:t>
      </w:r>
      <w:r>
        <w:rPr>
          <w:rFonts w:hint="eastAsia"/>
          <w:i w:val="0"/>
          <w:iCs w:val="0"/>
          <w:sz w:val="20"/>
          <w:szCs w:val="20"/>
          <w:lang w:val="en-US" w:eastAsia="zh-CN"/>
        </w:rPr>
        <w:t>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further</w:t>
      </w:r>
      <w:r>
        <w:rPr>
          <w:rFonts w:hint="default"/>
          <w:i w:val="0"/>
          <w:iCs w:val="0"/>
          <w:sz w:val="20"/>
          <w:szCs w:val="20"/>
          <w:lang w:val="en-US" w:eastAsia="zh-CN"/>
        </w:rPr>
        <w:t xml:space="preserve"> views </w:t>
      </w:r>
      <w:r>
        <w:rPr>
          <w:rFonts w:hint="eastAsia"/>
          <w:i w:val="0"/>
          <w:iCs w:val="0"/>
          <w:sz w:val="20"/>
          <w:szCs w:val="20"/>
          <w:lang w:val="en-US" w:eastAsia="zh-CN"/>
        </w:rPr>
        <w:t xml:space="preserve">about IoT-NTN PC1.5 single Tx </w:t>
      </w:r>
      <w:r>
        <w:rPr>
          <w:rFonts w:hint="default"/>
          <w:i w:val="0"/>
          <w:iCs w:val="0"/>
          <w:sz w:val="20"/>
          <w:szCs w:val="20"/>
          <w:lang w:val="en-US" w:eastAsia="zh-CN"/>
        </w:rPr>
        <w:t>from UE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180"/>
              <w:textAlignment w:val="baseline"/>
              <w:rPr>
                <w:sz w:val="20"/>
                <w:szCs w:val="20"/>
                <w:u w:val="single"/>
                <w:lang w:val="en-US"/>
              </w:rPr>
            </w:pPr>
            <w:r>
              <w:rPr>
                <w:sz w:val="20"/>
                <w:szCs w:val="20"/>
                <w:u w:val="single"/>
                <w:lang w:val="en-US"/>
              </w:rPr>
              <w:t>HPUE for NTN Core Part</w:t>
            </w:r>
          </w:p>
          <w:p>
            <w:pPr>
              <w:pStyle w:val="34"/>
              <w:numPr>
                <w:ilvl w:val="0"/>
                <w:numId w:val="8"/>
              </w:numPr>
              <w:overflowPunct w:val="0"/>
              <w:autoSpaceDE w:val="0"/>
              <w:autoSpaceDN w:val="0"/>
              <w:adjustRightInd w:val="0"/>
              <w:spacing w:after="180"/>
              <w:textAlignment w:val="baseline"/>
              <w:rPr>
                <w:sz w:val="20"/>
                <w:szCs w:val="20"/>
                <w:lang w:val="en-US"/>
              </w:rPr>
            </w:pPr>
            <w:r>
              <w:rPr>
                <w:sz w:val="20"/>
                <w:szCs w:val="20"/>
                <w:lang w:val="en-US"/>
              </w:rPr>
              <w:t>Specify high power UE (HPUE) NB-IoT based IoT-NTN in FR1-NTN bands and the corresponding LTE NTN bands for the single uplink (UL) carrier scenario</w:t>
            </w:r>
          </w:p>
          <w:p>
            <w:pPr>
              <w:pStyle w:val="34"/>
              <w:numPr>
                <w:ilvl w:val="1"/>
                <w:numId w:val="8"/>
              </w:numPr>
              <w:overflowPunct w:val="0"/>
              <w:autoSpaceDE w:val="0"/>
              <w:autoSpaceDN w:val="0"/>
              <w:adjustRightInd w:val="0"/>
              <w:spacing w:after="180"/>
              <w:textAlignment w:val="baseline"/>
              <w:rPr>
                <w:sz w:val="20"/>
                <w:szCs w:val="20"/>
                <w:lang w:val="en-US"/>
              </w:rPr>
            </w:pPr>
            <w:r>
              <w:rPr>
                <w:sz w:val="20"/>
                <w:szCs w:val="20"/>
                <w:lang w:val="en-US"/>
              </w:rPr>
              <w:t>IoT-NTN PC1.5 with 1Tx for handheld and non-handheld device types</w:t>
            </w:r>
          </w:p>
          <w:p>
            <w:pPr>
              <w:pStyle w:val="34"/>
              <w:numPr>
                <w:ilvl w:val="1"/>
                <w:numId w:val="9"/>
              </w:numPr>
              <w:overflowPunct w:val="0"/>
              <w:autoSpaceDE w:val="0"/>
              <w:autoSpaceDN w:val="0"/>
              <w:adjustRightInd w:val="0"/>
              <w:spacing w:after="180"/>
              <w:textAlignment w:val="baseline"/>
              <w:rPr>
                <w:sz w:val="20"/>
                <w:szCs w:val="20"/>
                <w:lang w:val="en-US"/>
              </w:rPr>
            </w:pPr>
            <w:r>
              <w:rPr>
                <w:sz w:val="20"/>
                <w:szCs w:val="20"/>
                <w:lang w:val="en-US"/>
              </w:rPr>
              <w:t>Example bands are Band 256 and 255</w:t>
            </w:r>
          </w:p>
          <w:p>
            <w:pPr>
              <w:pStyle w:val="34"/>
              <w:numPr>
                <w:ilvl w:val="1"/>
                <w:numId w:val="9"/>
              </w:numPr>
              <w:overflowPunct w:val="0"/>
              <w:autoSpaceDE w:val="0"/>
              <w:autoSpaceDN w:val="0"/>
              <w:adjustRightInd w:val="0"/>
              <w:spacing w:after="180"/>
              <w:textAlignment w:val="baseline"/>
              <w:rPr>
                <w:sz w:val="20"/>
                <w:szCs w:val="20"/>
                <w:lang w:val="en-US"/>
              </w:rPr>
            </w:pPr>
            <w:r>
              <w:rPr>
                <w:sz w:val="20"/>
                <w:szCs w:val="20"/>
                <w:lang w:val="en-US"/>
              </w:rPr>
              <w:t>Necessary Tx requirements, at least including</w:t>
            </w:r>
          </w:p>
          <w:p>
            <w:pPr>
              <w:pStyle w:val="34"/>
              <w:numPr>
                <w:ilvl w:val="2"/>
                <w:numId w:val="9"/>
              </w:numPr>
              <w:overflowPunct w:val="0"/>
              <w:autoSpaceDE w:val="0"/>
              <w:autoSpaceDN w:val="0"/>
              <w:adjustRightInd w:val="0"/>
              <w:spacing w:after="180"/>
              <w:textAlignment w:val="baseline"/>
              <w:rPr>
                <w:sz w:val="20"/>
                <w:szCs w:val="20"/>
                <w:lang w:val="en-US"/>
              </w:rPr>
            </w:pPr>
            <w:r>
              <w:rPr>
                <w:sz w:val="20"/>
                <w:szCs w:val="20"/>
                <w:lang w:val="en-US"/>
              </w:rPr>
              <w:t>Specify MPR and A-MPR for the example bands considering the regulation for the corresponding bands, if necessary</w:t>
            </w:r>
          </w:p>
          <w:p>
            <w:pPr>
              <w:pStyle w:val="34"/>
              <w:numPr>
                <w:ilvl w:val="1"/>
                <w:numId w:val="9"/>
              </w:numPr>
              <w:overflowPunct w:val="0"/>
              <w:autoSpaceDE w:val="0"/>
              <w:autoSpaceDN w:val="0"/>
              <w:adjustRightInd w:val="0"/>
              <w:spacing w:after="180"/>
              <w:textAlignment w:val="baseline"/>
              <w:rPr>
                <w:sz w:val="20"/>
                <w:szCs w:val="20"/>
                <w:lang w:val="en-US"/>
              </w:rPr>
            </w:pPr>
            <w:r>
              <w:rPr>
                <w:sz w:val="20"/>
                <w:szCs w:val="20"/>
                <w:lang w:val="en-US"/>
              </w:rPr>
              <w:t>Necessary Rx requirements, at least including</w:t>
            </w:r>
          </w:p>
          <w:p>
            <w:pPr>
              <w:pStyle w:val="34"/>
              <w:numPr>
                <w:ilvl w:val="2"/>
                <w:numId w:val="9"/>
              </w:numPr>
              <w:overflowPunct w:val="0"/>
              <w:autoSpaceDE w:val="0"/>
              <w:autoSpaceDN w:val="0"/>
              <w:adjustRightInd w:val="0"/>
              <w:spacing w:after="180"/>
              <w:textAlignment w:val="baseline"/>
              <w:rPr>
                <w:sz w:val="20"/>
                <w:szCs w:val="20"/>
                <w:lang w:val="en-US"/>
              </w:rPr>
            </w:pPr>
            <w:r>
              <w:rPr>
                <w:sz w:val="20"/>
                <w:szCs w:val="20"/>
                <w:lang w:val="en-US"/>
              </w:rPr>
              <w:t>Specify the RSD requirements on the example bands, if necessary</w:t>
            </w:r>
          </w:p>
          <w:p>
            <w:pPr>
              <w:pStyle w:val="34"/>
              <w:numPr>
                <w:ilvl w:val="1"/>
                <w:numId w:val="9"/>
              </w:numPr>
              <w:overflowPunct w:val="0"/>
              <w:autoSpaceDE w:val="0"/>
              <w:autoSpaceDN w:val="0"/>
              <w:adjustRightInd w:val="0"/>
              <w:spacing w:after="180"/>
              <w:textAlignment w:val="baseline"/>
              <w:rPr>
                <w:sz w:val="20"/>
                <w:szCs w:val="20"/>
                <w:lang w:val="en-US"/>
              </w:rPr>
            </w:pPr>
            <w:r>
              <w:rPr>
                <w:sz w:val="20"/>
                <w:szCs w:val="20"/>
                <w:lang w:val="en-US"/>
              </w:rPr>
              <w:t>Specify the necessary signaling to support the above objectives</w:t>
            </w:r>
          </w:p>
          <w:p>
            <w:pPr>
              <w:pStyle w:val="34"/>
              <w:numPr>
                <w:ilvl w:val="0"/>
                <w:numId w:val="9"/>
              </w:numPr>
              <w:overflowPunct w:val="0"/>
              <w:autoSpaceDE w:val="0"/>
              <w:autoSpaceDN w:val="0"/>
              <w:adjustRightInd w:val="0"/>
              <w:spacing w:after="180"/>
              <w:textAlignment w:val="baseline"/>
              <w:rPr>
                <w:sz w:val="20"/>
                <w:szCs w:val="20"/>
                <w:lang w:val="en-US"/>
              </w:rPr>
            </w:pPr>
            <w:r>
              <w:rPr>
                <w:sz w:val="20"/>
                <w:szCs w:val="20"/>
                <w:lang w:val="en-US"/>
              </w:rPr>
              <w:t>The band agnostic requirements for UE power class specified for TN are expected to apply also to corresponding NR NTN power classes.</w:t>
            </w: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numPr>
                <w:ilvl w:val="0"/>
                <w:numId w:val="0"/>
              </w:numPr>
              <w:overflowPunct w:val="0"/>
              <w:autoSpaceDE w:val="0"/>
              <w:autoSpaceDN w:val="0"/>
              <w:adjustRightInd w:val="0"/>
              <w:textAlignment w:val="baseline"/>
              <w:rPr>
                <w:rFonts w:eastAsia="PMingLiU"/>
                <w:sz w:val="20"/>
                <w:szCs w:val="20"/>
                <w:lang w:val="en-US" w:eastAsia="zh-TW"/>
              </w:rPr>
            </w:pPr>
            <w:r>
              <w:rPr>
                <w:sz w:val="20"/>
                <w:szCs w:val="20"/>
                <w:lang w:val="en-US"/>
              </w:rPr>
              <w:t xml:space="preserve">Issue </w:t>
            </w:r>
            <w:r>
              <w:rPr>
                <w:rFonts w:hint="eastAsia" w:eastAsia="PMingLiU"/>
                <w:sz w:val="20"/>
                <w:szCs w:val="20"/>
                <w:lang w:val="en-US" w:eastAsia="zh-TW"/>
              </w:rPr>
              <w:t>2</w:t>
            </w:r>
            <w:r>
              <w:rPr>
                <w:sz w:val="20"/>
                <w:szCs w:val="20"/>
                <w:lang w:val="en-US"/>
              </w:rPr>
              <w:t>-</w:t>
            </w:r>
            <w:r>
              <w:rPr>
                <w:rFonts w:hint="eastAsia" w:eastAsia="PMingLiU"/>
                <w:sz w:val="20"/>
                <w:szCs w:val="20"/>
                <w:lang w:val="en-US" w:eastAsia="zh-TW"/>
              </w:rPr>
              <w:t>1</w:t>
            </w:r>
            <w:r>
              <w:rPr>
                <w:sz w:val="20"/>
                <w:szCs w:val="20"/>
                <w:lang w:val="en-US"/>
              </w:rPr>
              <w:t>-</w:t>
            </w:r>
            <w:r>
              <w:rPr>
                <w:rFonts w:hint="eastAsia" w:eastAsia="PMingLiU"/>
                <w:sz w:val="20"/>
                <w:szCs w:val="20"/>
                <w:lang w:val="en-US" w:eastAsia="zh-TW"/>
              </w:rPr>
              <w:t>6</w:t>
            </w:r>
            <w:r>
              <w:rPr>
                <w:sz w:val="20"/>
                <w:szCs w:val="20"/>
                <w:lang w:val="en-US"/>
              </w:rPr>
              <w:t xml:space="preserve">: </w:t>
            </w:r>
            <w:r>
              <w:rPr>
                <w:rFonts w:hint="eastAsia" w:eastAsia="PMingLiU"/>
                <w:sz w:val="20"/>
                <w:szCs w:val="20"/>
                <w:lang w:val="en-US" w:eastAsia="zh-TW"/>
              </w:rPr>
              <w:t xml:space="preserve">Capability signalling for </w:t>
            </w:r>
            <w:r>
              <w:rPr>
                <w:rFonts w:eastAsia="PMingLiU"/>
                <w:sz w:val="20"/>
                <w:szCs w:val="20"/>
                <w:lang w:val="en-US" w:eastAsia="zh-TW"/>
              </w:rPr>
              <w:t>PC1.5 NB-IoT NTN UE</w:t>
            </w:r>
          </w:p>
          <w:p>
            <w:pPr>
              <w:keepNext/>
              <w:overflowPunct w:val="0"/>
              <w:autoSpaceDE w:val="0"/>
              <w:autoSpaceDN w:val="0"/>
              <w:adjustRightInd w:val="0"/>
              <w:spacing w:after="120" w:line="259" w:lineRule="auto"/>
              <w:textAlignment w:val="baseline"/>
              <w:rPr>
                <w:rFonts w:eastAsia="PMingLiU"/>
                <w:sz w:val="20"/>
                <w:szCs w:val="20"/>
                <w:highlight w:val="green"/>
                <w:lang w:val="en-US" w:eastAsia="zh-TW"/>
              </w:rPr>
            </w:pPr>
            <w:r>
              <w:rPr>
                <w:rFonts w:hint="eastAsia" w:eastAsia="PMingLiU"/>
                <w:sz w:val="20"/>
                <w:szCs w:val="20"/>
                <w:highlight w:val="green"/>
                <w:lang w:val="en-US" w:eastAsia="zh-TW"/>
              </w:rPr>
              <w:t>Agreement:</w:t>
            </w:r>
          </w:p>
          <w:p>
            <w:pPr>
              <w:pStyle w:val="34"/>
              <w:keepNext/>
              <w:numPr>
                <w:ilvl w:val="0"/>
                <w:numId w:val="10"/>
              </w:numPr>
              <w:overflowPunct/>
              <w:autoSpaceDE/>
              <w:autoSpaceDN/>
              <w:adjustRightInd/>
              <w:spacing w:after="120" w:line="259" w:lineRule="auto"/>
              <w:ind w:firstLineChars="0"/>
              <w:textAlignment w:val="auto"/>
              <w:rPr>
                <w:rFonts w:hint="eastAsia"/>
                <w:sz w:val="20"/>
                <w:szCs w:val="20"/>
                <w:vertAlign w:val="baseline"/>
                <w:lang w:val="en-US" w:eastAsia="zh-CN"/>
              </w:rPr>
            </w:pPr>
            <w:r>
              <w:rPr>
                <w:rFonts w:hint="eastAsia"/>
                <w:sz w:val="20"/>
                <w:szCs w:val="20"/>
                <w:highlight w:val="green"/>
                <w:lang w:val="en-US" w:eastAsia="zh-TW"/>
              </w:rPr>
              <w:t xml:space="preserve">The </w:t>
            </w:r>
            <w:r>
              <w:rPr>
                <w:sz w:val="20"/>
                <w:szCs w:val="20"/>
                <w:highlight w:val="green"/>
                <w:lang w:val="en-US" w:eastAsia="zh-TW"/>
              </w:rPr>
              <w:t>signaling to indicate support for PC1.5 is needed to be added to LTE RRC signal</w:t>
            </w:r>
            <w:r>
              <w:rPr>
                <w:rFonts w:hint="eastAsia"/>
                <w:sz w:val="20"/>
                <w:szCs w:val="20"/>
                <w:highlight w:val="green"/>
                <w:lang w:val="en-US" w:eastAsia="zh-TW"/>
              </w:rPr>
              <w:t>l</w:t>
            </w:r>
            <w:r>
              <w:rPr>
                <w:sz w:val="20"/>
                <w:szCs w:val="20"/>
                <w:highlight w:val="green"/>
                <w:lang w:val="en-US" w:eastAsia="zh-TW"/>
              </w:rPr>
              <w:t>ing</w:t>
            </w:r>
            <w:r>
              <w:rPr>
                <w:rFonts w:hint="eastAsia"/>
                <w:sz w:val="20"/>
                <w:szCs w:val="20"/>
                <w:highlight w:val="green"/>
                <w:lang w:val="en-US" w:eastAsia="zh-TW"/>
              </w:rPr>
              <w:t xml:space="preserve"> with preference on early implementation.</w:t>
            </w:r>
          </w:p>
        </w:tc>
      </w:tr>
    </w:tbl>
    <w:p>
      <w:pPr>
        <w:bidi w:val="0"/>
        <w:rPr>
          <w:rFonts w:hint="eastAsia"/>
          <w:sz w:val="20"/>
          <w:szCs w:val="20"/>
          <w:lang w:val="en-US" w:eastAsia="zh-CN"/>
        </w:rPr>
      </w:pPr>
      <w:r>
        <w:rPr>
          <w:rFonts w:hint="eastAsia"/>
          <w:sz w:val="20"/>
          <w:szCs w:val="20"/>
          <w:lang w:val="en-US" w:eastAsia="zh-CN"/>
        </w:rPr>
        <w:t>Regarding capability signalling for PC1.5 NB-IoT NTN UE, we reached an agreement as in the above. Per the agreement, a LS is needed to send to RAN2. For preference on early implementation, we didn</w:t>
      </w:r>
      <w:r>
        <w:rPr>
          <w:rFonts w:hint="default"/>
          <w:sz w:val="20"/>
          <w:szCs w:val="20"/>
          <w:lang w:val="en-US" w:eastAsia="zh-CN"/>
        </w:rPr>
        <w:t>’</w:t>
      </w:r>
      <w:r>
        <w:rPr>
          <w:rFonts w:hint="eastAsia"/>
          <w:sz w:val="20"/>
          <w:szCs w:val="20"/>
          <w:lang w:val="en-US" w:eastAsia="zh-CN"/>
        </w:rPr>
        <w:t>t see any motivation to do this. Moreover, whether to introduce the capability in early implementation manner should be discussed in RAN2 instead of RAN4. In RAN4, we can discuss that whether to introduce PC1.5 in a release independent manner for IoT-NTN.</w:t>
      </w:r>
    </w:p>
    <w:p>
      <w:pPr>
        <w:bidi w:val="0"/>
        <w:rPr>
          <w:rFonts w:hint="default"/>
          <w:b/>
          <w:bCs/>
          <w:sz w:val="20"/>
          <w:szCs w:val="20"/>
          <w:lang w:val="en-US" w:eastAsia="zh-CN"/>
        </w:rPr>
      </w:pPr>
      <w:r>
        <w:rPr>
          <w:rFonts w:hint="eastAsia"/>
          <w:b/>
          <w:bCs/>
          <w:sz w:val="20"/>
          <w:szCs w:val="20"/>
          <w:lang w:val="en-US" w:eastAsia="zh-CN"/>
        </w:rPr>
        <w:t>Proposal 1: Need to send a LS to RAN2 and whether to introduce the capability in early implementation manner should be discussed in RAN2.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0"/>
                <w:numId w:val="0"/>
              </w:numPr>
              <w:overflowPunct w:val="0"/>
              <w:autoSpaceDE w:val="0"/>
              <w:autoSpaceDN w:val="0"/>
              <w:adjustRightInd w:val="0"/>
              <w:textAlignment w:val="baseline"/>
              <w:rPr>
                <w:sz w:val="20"/>
                <w:szCs w:val="20"/>
                <w:lang w:val="en-US"/>
              </w:rPr>
            </w:pPr>
            <w:r>
              <w:rPr>
                <w:sz w:val="20"/>
                <w:szCs w:val="20"/>
                <w:lang w:val="en-US"/>
              </w:rPr>
              <w:t>Issue 2-2-</w:t>
            </w:r>
            <w:r>
              <w:rPr>
                <w:rFonts w:hint="eastAsia" w:eastAsiaTheme="minorEastAsia"/>
                <w:sz w:val="20"/>
                <w:szCs w:val="20"/>
                <w:lang w:val="en-US" w:eastAsia="zh-TW"/>
              </w:rPr>
              <w:t>3:</w:t>
            </w:r>
            <w:r>
              <w:rPr>
                <w:sz w:val="20"/>
                <w:szCs w:val="20"/>
                <w:lang w:val="en-US"/>
              </w:rPr>
              <w:t xml:space="preserve"> UE RF front end assumptions and related accommodations</w:t>
            </w:r>
          </w:p>
          <w:p>
            <w:pPr>
              <w:keepNext/>
              <w:overflowPunct w:val="0"/>
              <w:autoSpaceDE w:val="0"/>
              <w:autoSpaceDN w:val="0"/>
              <w:adjustRightInd w:val="0"/>
              <w:spacing w:after="120" w:line="259" w:lineRule="auto"/>
              <w:textAlignment w:val="baseline"/>
              <w:rPr>
                <w:rFonts w:eastAsia="PMingLiU"/>
                <w:sz w:val="20"/>
                <w:szCs w:val="20"/>
                <w:highlight w:val="green"/>
                <w:lang w:val="en-US" w:eastAsia="zh-TW"/>
              </w:rPr>
            </w:pPr>
            <w:r>
              <w:rPr>
                <w:rFonts w:hint="eastAsia" w:eastAsia="PMingLiU"/>
                <w:sz w:val="20"/>
                <w:szCs w:val="20"/>
                <w:highlight w:val="green"/>
                <w:lang w:val="en-US" w:eastAsia="zh-TW"/>
              </w:rPr>
              <w:t>WayFoward:</w:t>
            </w:r>
          </w:p>
          <w:p>
            <w:pPr>
              <w:pStyle w:val="34"/>
              <w:keepNext/>
              <w:numPr>
                <w:ilvl w:val="0"/>
                <w:numId w:val="10"/>
              </w:numPr>
              <w:overflowPunct/>
              <w:autoSpaceDE/>
              <w:autoSpaceDN/>
              <w:adjustRightInd/>
              <w:spacing w:after="120" w:line="259" w:lineRule="auto"/>
              <w:ind w:firstLineChars="0"/>
              <w:textAlignment w:val="auto"/>
              <w:rPr>
                <w:sz w:val="20"/>
                <w:szCs w:val="20"/>
                <w:highlight w:val="green"/>
                <w:lang w:val="en-US"/>
              </w:rPr>
            </w:pPr>
            <w:r>
              <w:rPr>
                <w:sz w:val="20"/>
                <w:szCs w:val="20"/>
                <w:highlight w:val="green"/>
                <w:lang w:val="en-US" w:eastAsia="zh-TW"/>
              </w:rPr>
              <w:t>FFS on power handling challenges when NB</w:t>
            </w:r>
            <w:r>
              <w:rPr>
                <w:rFonts w:eastAsia="細明體"/>
                <w:sz w:val="20"/>
                <w:szCs w:val="20"/>
                <w:highlight w:val="green"/>
                <w:lang w:val="en-US" w:eastAsia="zh-TW"/>
              </w:rPr>
              <w:t xml:space="preserve">-IoT NTN </w:t>
            </w:r>
            <w:r>
              <w:rPr>
                <w:sz w:val="20"/>
                <w:szCs w:val="20"/>
                <w:highlight w:val="green"/>
                <w:lang w:val="en-US" w:eastAsia="zh-TW"/>
              </w:rPr>
              <w:t xml:space="preserve">UE is scheduled for long duration </w:t>
            </w:r>
            <w:r>
              <w:rPr>
                <w:rFonts w:hint="eastAsia"/>
                <w:sz w:val="20"/>
                <w:szCs w:val="20"/>
                <w:highlight w:val="green"/>
                <w:lang w:val="en-US" w:eastAsia="zh-TW"/>
              </w:rPr>
              <w:t xml:space="preserve">e.g. 256ms </w:t>
            </w:r>
            <w:r>
              <w:rPr>
                <w:sz w:val="20"/>
                <w:szCs w:val="20"/>
                <w:highlight w:val="green"/>
                <w:lang w:val="en-US" w:eastAsia="zh-TW"/>
              </w:rPr>
              <w:t xml:space="preserve">in UL with </w:t>
            </w:r>
            <w:r>
              <w:rPr>
                <w:rFonts w:hint="eastAsia"/>
                <w:sz w:val="20"/>
                <w:szCs w:val="20"/>
                <w:highlight w:val="green"/>
                <w:lang w:val="en-US" w:eastAsia="zh-TW"/>
              </w:rPr>
              <w:t>high power e.g. +29dBm</w:t>
            </w:r>
            <w:r>
              <w:rPr>
                <w:sz w:val="20"/>
                <w:szCs w:val="20"/>
                <w:highlight w:val="green"/>
                <w:lang w:val="en-US" w:eastAsia="zh-TW"/>
              </w:rPr>
              <w:t>. (e.g. potential accommodations to UE maximum output power requirements</w:t>
            </w:r>
            <w:r>
              <w:rPr>
                <w:rFonts w:hint="eastAsia"/>
                <w:sz w:val="20"/>
                <w:szCs w:val="20"/>
                <w:highlight w:val="green"/>
                <w:lang w:val="en-US" w:eastAsia="zh-TW"/>
              </w:rPr>
              <w:t>)</w:t>
            </w:r>
          </w:p>
          <w:p>
            <w:pPr>
              <w:pStyle w:val="34"/>
              <w:keepNext/>
              <w:numPr>
                <w:ilvl w:val="0"/>
                <w:numId w:val="10"/>
              </w:numPr>
              <w:overflowPunct/>
              <w:autoSpaceDE/>
              <w:autoSpaceDN/>
              <w:adjustRightInd/>
              <w:spacing w:after="120" w:line="259" w:lineRule="auto"/>
              <w:ind w:firstLineChars="0"/>
              <w:textAlignment w:val="auto"/>
              <w:rPr>
                <w:rFonts w:hint="eastAsia"/>
                <w:sz w:val="20"/>
                <w:szCs w:val="20"/>
                <w:vertAlign w:val="baseline"/>
                <w:lang w:val="en-US" w:eastAsia="zh-CN"/>
              </w:rPr>
            </w:pPr>
            <w:r>
              <w:rPr>
                <w:rFonts w:hint="eastAsia"/>
                <w:sz w:val="20"/>
                <w:szCs w:val="20"/>
                <w:highlight w:val="green"/>
                <w:lang w:val="en-US" w:eastAsia="zh-TW"/>
              </w:rPr>
              <w:t xml:space="preserve">The timeline of the </w:t>
            </w:r>
            <w:r>
              <w:rPr>
                <w:sz w:val="20"/>
                <w:szCs w:val="20"/>
                <w:highlight w:val="green"/>
                <w:lang w:val="en-US" w:eastAsia="zh-TW"/>
              </w:rPr>
              <w:t>PC1.5 IoT NTN</w:t>
            </w:r>
            <w:r>
              <w:rPr>
                <w:rFonts w:hint="eastAsia"/>
                <w:sz w:val="20"/>
                <w:szCs w:val="20"/>
                <w:highlight w:val="green"/>
                <w:lang w:val="en-US" w:eastAsia="zh-TW"/>
              </w:rPr>
              <w:t xml:space="preserve"> work shall not be impacted by this issue,</w:t>
            </w:r>
            <w:r>
              <w:rPr>
                <w:rFonts w:hint="eastAsia" w:eastAsiaTheme="minorEastAsia"/>
                <w:sz w:val="20"/>
                <w:szCs w:val="20"/>
                <w:highlight w:val="green"/>
                <w:lang w:val="en-US" w:eastAsia="zh-TW"/>
              </w:rPr>
              <w:t xml:space="preserve"> even if no solution is agreed, no discussion after RAN4#118.</w:t>
            </w:r>
          </w:p>
        </w:tc>
      </w:tr>
    </w:tbl>
    <w:p>
      <w:pPr>
        <w:bidi w:val="0"/>
        <w:rPr>
          <w:rFonts w:hint="eastAsia"/>
          <w:sz w:val="20"/>
          <w:szCs w:val="20"/>
          <w:lang w:val="en-US" w:eastAsia="zh-CN"/>
        </w:rPr>
      </w:pPr>
      <w:r>
        <w:rPr>
          <w:rFonts w:hint="eastAsia"/>
          <w:sz w:val="20"/>
          <w:szCs w:val="20"/>
          <w:lang w:val="en-US" w:eastAsia="zh-CN"/>
        </w:rPr>
        <w:t xml:space="preserve">In last meeting, one company raised power handling challenges when NB-IoT NTN UE is scheduled for long duration e.g. 256ms in UL with high power e.g. +29dBm, and proposed to use duty cycle scheme to solve the problem. During online discussion, many companies showed their concern about duty cycle scheme. The main reason includes that in Rel-19 NTN HPUE discussion, we agreed to use P-MPR solution instead of duty cycle. Additionally, although duty cycle solution was introduced in RAN4 spec, it was never used in field as the exact evaluation period is not clear and no duty cycle solution introduced for FDD bands. </w:t>
      </w:r>
    </w:p>
    <w:p>
      <w:pPr>
        <w:bidi w:val="0"/>
        <w:rPr>
          <w:rFonts w:hint="default"/>
          <w:sz w:val="20"/>
          <w:szCs w:val="20"/>
          <w:lang w:val="en-US" w:eastAsia="zh-CN"/>
        </w:rPr>
      </w:pPr>
      <w:r>
        <w:rPr>
          <w:rFonts w:hint="eastAsia"/>
          <w:sz w:val="20"/>
          <w:szCs w:val="20"/>
          <w:lang w:val="en-US" w:eastAsia="zh-CN"/>
        </w:rPr>
        <w:t>Furthermore, for the UE architecture, P-MPR solution was used for PC1 and PC2 NB-IoT based IoT-NTN for both handheld and non-handheld UEs. Same logic for PC1.5, we can use P-MPR solution if power handling challenges exist.</w:t>
      </w:r>
    </w:p>
    <w:p>
      <w:pPr>
        <w:bidi w:val="0"/>
        <w:rPr>
          <w:rFonts w:hint="default"/>
          <w:b/>
          <w:bCs/>
          <w:sz w:val="20"/>
          <w:szCs w:val="20"/>
          <w:lang w:val="en-US" w:eastAsia="zh-CN"/>
        </w:rPr>
      </w:pPr>
      <w:r>
        <w:rPr>
          <w:rFonts w:hint="eastAsia"/>
          <w:b/>
          <w:bCs/>
          <w:sz w:val="20"/>
          <w:szCs w:val="20"/>
          <w:lang w:val="en-US" w:eastAsia="zh-CN"/>
        </w:rPr>
        <w:t>Proposal 2: To use P-MPR solution if power handling challenges exist.</w:t>
      </w:r>
    </w:p>
    <w:p>
      <w:pPr>
        <w:rPr>
          <w:rFonts w:hint="eastAsia"/>
          <w:b/>
          <w:bCs/>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UE RF requirements </w:t>
      </w:r>
      <w:r>
        <w:rPr>
          <w:rFonts w:hint="eastAsia" w:ascii="Times New Roman" w:hAnsi="Times New Roman" w:eastAsia="宋体" w:cs="Times New Roman"/>
          <w:b w:val="0"/>
          <w:bCs w:val="0"/>
          <w:kern w:val="0"/>
          <w:sz w:val="20"/>
          <w:szCs w:val="20"/>
          <w:highlight w:val="none"/>
          <w:lang w:val="en-US" w:eastAsia="zh-CN" w:bidi="ar-SA"/>
        </w:rPr>
        <w:t xml:space="preserve">for </w:t>
      </w:r>
      <w:r>
        <w:rPr>
          <w:rFonts w:hint="eastAsia"/>
          <w:i w:val="0"/>
          <w:iCs w:val="0"/>
          <w:sz w:val="20"/>
          <w:szCs w:val="20"/>
          <w:lang w:val="en-US" w:eastAsia="zh-CN"/>
        </w:rPr>
        <w:t>IoT-NTN PC1.5</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bidi w:val="0"/>
        <w:rPr>
          <w:rFonts w:hint="default"/>
          <w:b/>
          <w:bCs/>
          <w:sz w:val="20"/>
          <w:szCs w:val="20"/>
          <w:lang w:val="en-US" w:eastAsia="zh-CN"/>
        </w:rPr>
      </w:pPr>
      <w:r>
        <w:rPr>
          <w:rFonts w:hint="eastAsia"/>
          <w:b/>
          <w:bCs/>
          <w:sz w:val="20"/>
          <w:szCs w:val="20"/>
          <w:lang w:val="en-US" w:eastAsia="zh-CN"/>
        </w:rPr>
        <w:t>Proposal 1: Need to send a ls to RAN2 and whether to introduce the capability in early implementation manner should be discussed in RAN2.</w:t>
      </w:r>
    </w:p>
    <w:p>
      <w:pPr>
        <w:bidi w:val="0"/>
        <w:rPr>
          <w:rFonts w:hint="default"/>
          <w:b/>
          <w:bCs/>
          <w:sz w:val="20"/>
          <w:szCs w:val="20"/>
          <w:lang w:val="en-US" w:eastAsia="zh-CN"/>
        </w:rPr>
      </w:pPr>
      <w:r>
        <w:rPr>
          <w:rFonts w:hint="eastAsia"/>
          <w:b/>
          <w:bCs/>
          <w:sz w:val="20"/>
          <w:szCs w:val="20"/>
          <w:lang w:val="en-US" w:eastAsia="zh-CN"/>
        </w:rPr>
        <w:t>Proposal 2: To use P-MPR solution if power handling challenges exist.</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RP-252962, New WID on Enhanced requirements for NR NTN and IoT NTN Phase 2, Moderator (RAN4 VC, Qualcomm Incorporated)</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細明體">
    <w:altName w:val="PMingLiU-ExtB"/>
    <w:panose1 w:val="02020509000000000000"/>
    <w:charset w:val="88"/>
    <w:family w:val="moder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1300A8"/>
    <w:multiLevelType w:val="multilevel"/>
    <w:tmpl w:val="0B1300A8"/>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573D41"/>
    <w:multiLevelType w:val="multilevel"/>
    <w:tmpl w:val="58573D41"/>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Wingdings" w:hAnsi="Wingdings"/>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F723A5E"/>
    <w:multiLevelType w:val="singleLevel"/>
    <w:tmpl w:val="5F723A5E"/>
    <w:lvl w:ilvl="0" w:tentative="0">
      <w:start w:val="1"/>
      <w:numFmt w:val="decimal"/>
      <w:suff w:val="space"/>
      <w:lvlText w:val="[%1]"/>
      <w:lvlJc w:val="left"/>
    </w:lvl>
  </w:abstractNum>
  <w:abstractNum w:abstractNumId="10">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0"/>
  </w:num>
  <w:num w:numId="3">
    <w:abstractNumId w:val="8"/>
  </w:num>
  <w:num w:numId="4">
    <w:abstractNumId w:val="4"/>
  </w:num>
  <w:num w:numId="5">
    <w:abstractNumId w:val="5"/>
  </w:num>
  <w:num w:numId="6">
    <w:abstractNumId w:val="1"/>
  </w:num>
  <w:num w:numId="7">
    <w:abstractNumId w:val="0"/>
  </w:num>
  <w:num w:numId="8">
    <w:abstractNumId w:val="2"/>
  </w:num>
  <w:num w:numId="9">
    <w:abstractNumId w:val="6"/>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4100"/>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0687"/>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C44392"/>
    <w:rsid w:val="02D16C80"/>
    <w:rsid w:val="02DC3F9C"/>
    <w:rsid w:val="02E3105C"/>
    <w:rsid w:val="02E63DE2"/>
    <w:rsid w:val="02F679B9"/>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A77DFA"/>
    <w:rsid w:val="03B339B1"/>
    <w:rsid w:val="03B86472"/>
    <w:rsid w:val="03C05350"/>
    <w:rsid w:val="03C1287B"/>
    <w:rsid w:val="03C36B0E"/>
    <w:rsid w:val="03C528EA"/>
    <w:rsid w:val="03CF67FA"/>
    <w:rsid w:val="03E120EA"/>
    <w:rsid w:val="03E358F3"/>
    <w:rsid w:val="03E84DE8"/>
    <w:rsid w:val="03EC63CD"/>
    <w:rsid w:val="04030035"/>
    <w:rsid w:val="04142BDC"/>
    <w:rsid w:val="04242D1B"/>
    <w:rsid w:val="04251A4C"/>
    <w:rsid w:val="042D2E97"/>
    <w:rsid w:val="042E671D"/>
    <w:rsid w:val="04305EA0"/>
    <w:rsid w:val="04310833"/>
    <w:rsid w:val="04343921"/>
    <w:rsid w:val="04346443"/>
    <w:rsid w:val="043865BF"/>
    <w:rsid w:val="043A14AD"/>
    <w:rsid w:val="043E2986"/>
    <w:rsid w:val="044C78D8"/>
    <w:rsid w:val="04537B11"/>
    <w:rsid w:val="04557675"/>
    <w:rsid w:val="04684A28"/>
    <w:rsid w:val="046C0EAE"/>
    <w:rsid w:val="04774107"/>
    <w:rsid w:val="04782230"/>
    <w:rsid w:val="0479507E"/>
    <w:rsid w:val="04814AEF"/>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00083"/>
    <w:rsid w:val="0522500E"/>
    <w:rsid w:val="052E568F"/>
    <w:rsid w:val="05344105"/>
    <w:rsid w:val="053973F0"/>
    <w:rsid w:val="053E65E7"/>
    <w:rsid w:val="054B2F7A"/>
    <w:rsid w:val="0555228E"/>
    <w:rsid w:val="05595938"/>
    <w:rsid w:val="055A6B82"/>
    <w:rsid w:val="05636085"/>
    <w:rsid w:val="057D1D66"/>
    <w:rsid w:val="05891F2A"/>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4E3838"/>
    <w:rsid w:val="0654187C"/>
    <w:rsid w:val="065475DE"/>
    <w:rsid w:val="06556C03"/>
    <w:rsid w:val="06676354"/>
    <w:rsid w:val="066E5330"/>
    <w:rsid w:val="06782F84"/>
    <w:rsid w:val="067C28D6"/>
    <w:rsid w:val="067F5F89"/>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2652A"/>
    <w:rsid w:val="0889002B"/>
    <w:rsid w:val="08991502"/>
    <w:rsid w:val="089B79D9"/>
    <w:rsid w:val="08A44DA6"/>
    <w:rsid w:val="08AA245A"/>
    <w:rsid w:val="08AD2ACC"/>
    <w:rsid w:val="08AF46A5"/>
    <w:rsid w:val="08BA6E24"/>
    <w:rsid w:val="08C024D5"/>
    <w:rsid w:val="08C562FD"/>
    <w:rsid w:val="08CA27B1"/>
    <w:rsid w:val="08E916DF"/>
    <w:rsid w:val="08EB38B6"/>
    <w:rsid w:val="08F473EA"/>
    <w:rsid w:val="08FC0AA5"/>
    <w:rsid w:val="090E2F35"/>
    <w:rsid w:val="091B4FFA"/>
    <w:rsid w:val="092173F4"/>
    <w:rsid w:val="092469AB"/>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407E7"/>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3B2E96"/>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5F28"/>
    <w:rsid w:val="0C89028B"/>
    <w:rsid w:val="0C8B63A3"/>
    <w:rsid w:val="0CB94808"/>
    <w:rsid w:val="0CC146A9"/>
    <w:rsid w:val="0CC37BC2"/>
    <w:rsid w:val="0CD12914"/>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7F7318"/>
    <w:rsid w:val="0D883C88"/>
    <w:rsid w:val="0D8A6002"/>
    <w:rsid w:val="0D9074CF"/>
    <w:rsid w:val="0D936E72"/>
    <w:rsid w:val="0D966BF7"/>
    <w:rsid w:val="0DB54F84"/>
    <w:rsid w:val="0DB84465"/>
    <w:rsid w:val="0DC725FF"/>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5B5700"/>
    <w:rsid w:val="0E6271DF"/>
    <w:rsid w:val="0E6438B9"/>
    <w:rsid w:val="0E78367D"/>
    <w:rsid w:val="0E81568A"/>
    <w:rsid w:val="0E903E3B"/>
    <w:rsid w:val="0E942250"/>
    <w:rsid w:val="0E963344"/>
    <w:rsid w:val="0E9E6E00"/>
    <w:rsid w:val="0EA40C1C"/>
    <w:rsid w:val="0EAA759E"/>
    <w:rsid w:val="0EAF381F"/>
    <w:rsid w:val="0EB72E4B"/>
    <w:rsid w:val="0ECE6156"/>
    <w:rsid w:val="0EEC6F1D"/>
    <w:rsid w:val="0EEE42A2"/>
    <w:rsid w:val="0F0621F6"/>
    <w:rsid w:val="0F103291"/>
    <w:rsid w:val="0F15660A"/>
    <w:rsid w:val="0F1D0EA6"/>
    <w:rsid w:val="0F1D498B"/>
    <w:rsid w:val="0F22242C"/>
    <w:rsid w:val="0F2D0B0D"/>
    <w:rsid w:val="0F337178"/>
    <w:rsid w:val="0F3B15FC"/>
    <w:rsid w:val="0F41022A"/>
    <w:rsid w:val="0F56743B"/>
    <w:rsid w:val="0F60682C"/>
    <w:rsid w:val="0F661944"/>
    <w:rsid w:val="0F6763D9"/>
    <w:rsid w:val="0F715B2B"/>
    <w:rsid w:val="0F744211"/>
    <w:rsid w:val="0F764270"/>
    <w:rsid w:val="0F7F273F"/>
    <w:rsid w:val="0F7F7919"/>
    <w:rsid w:val="0F8418ED"/>
    <w:rsid w:val="0F854A43"/>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DA4653"/>
    <w:rsid w:val="11E57D4F"/>
    <w:rsid w:val="11EE7275"/>
    <w:rsid w:val="11F40833"/>
    <w:rsid w:val="11F92DAB"/>
    <w:rsid w:val="11FB6DE4"/>
    <w:rsid w:val="11FC38D5"/>
    <w:rsid w:val="11FD37F5"/>
    <w:rsid w:val="120F1E38"/>
    <w:rsid w:val="1210682D"/>
    <w:rsid w:val="122215D3"/>
    <w:rsid w:val="122510AD"/>
    <w:rsid w:val="122E0D67"/>
    <w:rsid w:val="122F0F93"/>
    <w:rsid w:val="123A05DB"/>
    <w:rsid w:val="124240B9"/>
    <w:rsid w:val="12491684"/>
    <w:rsid w:val="124D0988"/>
    <w:rsid w:val="124E44B4"/>
    <w:rsid w:val="126532DD"/>
    <w:rsid w:val="12680E73"/>
    <w:rsid w:val="127144E0"/>
    <w:rsid w:val="12763466"/>
    <w:rsid w:val="127C144F"/>
    <w:rsid w:val="127E5AA6"/>
    <w:rsid w:val="12811F99"/>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91CAC"/>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40334"/>
    <w:rsid w:val="1574662E"/>
    <w:rsid w:val="15751882"/>
    <w:rsid w:val="1575191B"/>
    <w:rsid w:val="157818C6"/>
    <w:rsid w:val="159F73BB"/>
    <w:rsid w:val="15A32861"/>
    <w:rsid w:val="15A502D0"/>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E60B5A"/>
    <w:rsid w:val="18F74015"/>
    <w:rsid w:val="19001FFC"/>
    <w:rsid w:val="19083894"/>
    <w:rsid w:val="190E2B4A"/>
    <w:rsid w:val="19184305"/>
    <w:rsid w:val="19254172"/>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CF3820"/>
    <w:rsid w:val="19E24986"/>
    <w:rsid w:val="19E256B5"/>
    <w:rsid w:val="19E54655"/>
    <w:rsid w:val="19F061A1"/>
    <w:rsid w:val="19F81E45"/>
    <w:rsid w:val="1A054259"/>
    <w:rsid w:val="1A081816"/>
    <w:rsid w:val="1A0C5680"/>
    <w:rsid w:val="1A165171"/>
    <w:rsid w:val="1A3068A4"/>
    <w:rsid w:val="1A352E58"/>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13C87"/>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35C17"/>
    <w:rsid w:val="1B9C269A"/>
    <w:rsid w:val="1B9E64C5"/>
    <w:rsid w:val="1B9E6D4C"/>
    <w:rsid w:val="1BB07CEA"/>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212D4"/>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9B77F5"/>
    <w:rsid w:val="1C9F3B2C"/>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454A8"/>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DEF316F"/>
    <w:rsid w:val="1E105A20"/>
    <w:rsid w:val="1E164B52"/>
    <w:rsid w:val="1E26583C"/>
    <w:rsid w:val="1E273844"/>
    <w:rsid w:val="1E2945B6"/>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B1886"/>
    <w:rsid w:val="1EBC3647"/>
    <w:rsid w:val="1EBD1EAD"/>
    <w:rsid w:val="1EC36E9D"/>
    <w:rsid w:val="1EE25FDD"/>
    <w:rsid w:val="1EEF7878"/>
    <w:rsid w:val="1EF5103F"/>
    <w:rsid w:val="1EF86BDC"/>
    <w:rsid w:val="1EFF621F"/>
    <w:rsid w:val="1F001DEB"/>
    <w:rsid w:val="1F090F9B"/>
    <w:rsid w:val="1F09497E"/>
    <w:rsid w:val="1F0A0088"/>
    <w:rsid w:val="1F0E5D6B"/>
    <w:rsid w:val="1F0F2943"/>
    <w:rsid w:val="1F1420D0"/>
    <w:rsid w:val="1F194C8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A0687"/>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D3C33"/>
    <w:rsid w:val="226E0A7E"/>
    <w:rsid w:val="227E0D30"/>
    <w:rsid w:val="227E7CD6"/>
    <w:rsid w:val="228A4698"/>
    <w:rsid w:val="22925971"/>
    <w:rsid w:val="22945167"/>
    <w:rsid w:val="229B0BE2"/>
    <w:rsid w:val="229C464B"/>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536618"/>
    <w:rsid w:val="236C1BCA"/>
    <w:rsid w:val="237464D5"/>
    <w:rsid w:val="23816932"/>
    <w:rsid w:val="238E01E4"/>
    <w:rsid w:val="23925D42"/>
    <w:rsid w:val="239C062C"/>
    <w:rsid w:val="23A9484E"/>
    <w:rsid w:val="23B32F98"/>
    <w:rsid w:val="23B84268"/>
    <w:rsid w:val="23D17D7B"/>
    <w:rsid w:val="23D36D91"/>
    <w:rsid w:val="23D84719"/>
    <w:rsid w:val="23E02099"/>
    <w:rsid w:val="23F70BA5"/>
    <w:rsid w:val="23F93D0D"/>
    <w:rsid w:val="2405417E"/>
    <w:rsid w:val="24197365"/>
    <w:rsid w:val="241B5C62"/>
    <w:rsid w:val="242A4D36"/>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BE2F28"/>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26CCB"/>
    <w:rsid w:val="25657E8F"/>
    <w:rsid w:val="256658A2"/>
    <w:rsid w:val="25691F8B"/>
    <w:rsid w:val="256C13EF"/>
    <w:rsid w:val="256E76DE"/>
    <w:rsid w:val="25733F7D"/>
    <w:rsid w:val="25734B61"/>
    <w:rsid w:val="257632D6"/>
    <w:rsid w:val="25855673"/>
    <w:rsid w:val="258F6BC4"/>
    <w:rsid w:val="25935E42"/>
    <w:rsid w:val="2597510C"/>
    <w:rsid w:val="25975923"/>
    <w:rsid w:val="259A3D0A"/>
    <w:rsid w:val="25A95F3E"/>
    <w:rsid w:val="25BD12A6"/>
    <w:rsid w:val="25BF0CF9"/>
    <w:rsid w:val="25BF6041"/>
    <w:rsid w:val="25C35502"/>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5E28"/>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436A9"/>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33F5A"/>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47D76"/>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948BD"/>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E6567"/>
    <w:rsid w:val="2CCB6E18"/>
    <w:rsid w:val="2CCF5C52"/>
    <w:rsid w:val="2CE01F07"/>
    <w:rsid w:val="2CE80ABF"/>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A78"/>
    <w:rsid w:val="2E7A5F31"/>
    <w:rsid w:val="2E7C6A94"/>
    <w:rsid w:val="2E8203DE"/>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07393"/>
    <w:rsid w:val="2FA417BA"/>
    <w:rsid w:val="2FA6492D"/>
    <w:rsid w:val="2FC86676"/>
    <w:rsid w:val="2FD17A1B"/>
    <w:rsid w:val="2FD71CA4"/>
    <w:rsid w:val="2FDC432A"/>
    <w:rsid w:val="2FDC4A8D"/>
    <w:rsid w:val="2FDD73CC"/>
    <w:rsid w:val="2FE27109"/>
    <w:rsid w:val="2FEA743A"/>
    <w:rsid w:val="2FF24D11"/>
    <w:rsid w:val="2FF93066"/>
    <w:rsid w:val="2FFF08B3"/>
    <w:rsid w:val="30114224"/>
    <w:rsid w:val="301742B2"/>
    <w:rsid w:val="301A1509"/>
    <w:rsid w:val="301A71CE"/>
    <w:rsid w:val="301D017F"/>
    <w:rsid w:val="301D63DD"/>
    <w:rsid w:val="301E049B"/>
    <w:rsid w:val="302A4BE6"/>
    <w:rsid w:val="304478EC"/>
    <w:rsid w:val="304F4511"/>
    <w:rsid w:val="30515C8E"/>
    <w:rsid w:val="305823FF"/>
    <w:rsid w:val="30830761"/>
    <w:rsid w:val="30926F91"/>
    <w:rsid w:val="30962F3E"/>
    <w:rsid w:val="309C1DD6"/>
    <w:rsid w:val="30A13F14"/>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B79AA"/>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A3506F"/>
    <w:rsid w:val="32B52836"/>
    <w:rsid w:val="32DF351E"/>
    <w:rsid w:val="32EE5E41"/>
    <w:rsid w:val="32F1510B"/>
    <w:rsid w:val="32F40F87"/>
    <w:rsid w:val="32F520B9"/>
    <w:rsid w:val="32FD7C76"/>
    <w:rsid w:val="330414AF"/>
    <w:rsid w:val="330C22FC"/>
    <w:rsid w:val="330F332B"/>
    <w:rsid w:val="33231081"/>
    <w:rsid w:val="332A6617"/>
    <w:rsid w:val="33432E06"/>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137F8"/>
    <w:rsid w:val="33CD23A8"/>
    <w:rsid w:val="33CD6498"/>
    <w:rsid w:val="33D7554F"/>
    <w:rsid w:val="33D825FA"/>
    <w:rsid w:val="33DB2AB1"/>
    <w:rsid w:val="33FE62E7"/>
    <w:rsid w:val="34062C68"/>
    <w:rsid w:val="34080399"/>
    <w:rsid w:val="340D25F6"/>
    <w:rsid w:val="34161D6C"/>
    <w:rsid w:val="341E19AD"/>
    <w:rsid w:val="341F37C9"/>
    <w:rsid w:val="342763E9"/>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292624"/>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B24AE8"/>
    <w:rsid w:val="36B54845"/>
    <w:rsid w:val="36BD0DC4"/>
    <w:rsid w:val="36D51D00"/>
    <w:rsid w:val="36D66B5E"/>
    <w:rsid w:val="36D86634"/>
    <w:rsid w:val="36DE4AF9"/>
    <w:rsid w:val="36E410A4"/>
    <w:rsid w:val="36E93760"/>
    <w:rsid w:val="36EE0289"/>
    <w:rsid w:val="36F4550C"/>
    <w:rsid w:val="36FB4305"/>
    <w:rsid w:val="3708597F"/>
    <w:rsid w:val="3709624C"/>
    <w:rsid w:val="37096815"/>
    <w:rsid w:val="370F7060"/>
    <w:rsid w:val="37134801"/>
    <w:rsid w:val="37173233"/>
    <w:rsid w:val="371C344E"/>
    <w:rsid w:val="37226558"/>
    <w:rsid w:val="3734159D"/>
    <w:rsid w:val="37382526"/>
    <w:rsid w:val="373B4C89"/>
    <w:rsid w:val="37424A45"/>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270FD"/>
    <w:rsid w:val="38190834"/>
    <w:rsid w:val="381C3EB1"/>
    <w:rsid w:val="381E409C"/>
    <w:rsid w:val="382B1BDF"/>
    <w:rsid w:val="382E392C"/>
    <w:rsid w:val="38310B25"/>
    <w:rsid w:val="38325D99"/>
    <w:rsid w:val="38342E90"/>
    <w:rsid w:val="38344F41"/>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400CC"/>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75CC4"/>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5D0BD6"/>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DC2C5B"/>
    <w:rsid w:val="3EF31E7F"/>
    <w:rsid w:val="3EF36DF0"/>
    <w:rsid w:val="3F003339"/>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AA090B"/>
    <w:rsid w:val="3FB45C58"/>
    <w:rsid w:val="3FBA1D11"/>
    <w:rsid w:val="3FC36557"/>
    <w:rsid w:val="3FC956FF"/>
    <w:rsid w:val="3FD13F50"/>
    <w:rsid w:val="3FDC5F31"/>
    <w:rsid w:val="3FE04625"/>
    <w:rsid w:val="3FE86CE8"/>
    <w:rsid w:val="3FEF3DCD"/>
    <w:rsid w:val="3FF148F7"/>
    <w:rsid w:val="3FFA261A"/>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C11715"/>
    <w:rsid w:val="40EC7D18"/>
    <w:rsid w:val="40ED11A0"/>
    <w:rsid w:val="40F92E97"/>
    <w:rsid w:val="40FD1BF0"/>
    <w:rsid w:val="41015E92"/>
    <w:rsid w:val="41096BC0"/>
    <w:rsid w:val="410A75B6"/>
    <w:rsid w:val="410B452A"/>
    <w:rsid w:val="41146D26"/>
    <w:rsid w:val="411B6EDC"/>
    <w:rsid w:val="413353F1"/>
    <w:rsid w:val="41464224"/>
    <w:rsid w:val="414C0B0E"/>
    <w:rsid w:val="41513BC9"/>
    <w:rsid w:val="41571ABC"/>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37FC3"/>
    <w:rsid w:val="42A729F1"/>
    <w:rsid w:val="42B94BC1"/>
    <w:rsid w:val="42BE4DAE"/>
    <w:rsid w:val="42BF61B0"/>
    <w:rsid w:val="42C30254"/>
    <w:rsid w:val="42C42A08"/>
    <w:rsid w:val="42D064B1"/>
    <w:rsid w:val="42D41F6D"/>
    <w:rsid w:val="42DE48A3"/>
    <w:rsid w:val="42E16058"/>
    <w:rsid w:val="42F17BF5"/>
    <w:rsid w:val="42F87EC9"/>
    <w:rsid w:val="42FA45BF"/>
    <w:rsid w:val="42FE087A"/>
    <w:rsid w:val="430E7E66"/>
    <w:rsid w:val="431C35C1"/>
    <w:rsid w:val="431C44AA"/>
    <w:rsid w:val="43264229"/>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7201A"/>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595C53"/>
    <w:rsid w:val="4565584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97236"/>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A77D7E"/>
    <w:rsid w:val="47B922BA"/>
    <w:rsid w:val="47C01792"/>
    <w:rsid w:val="47C57A48"/>
    <w:rsid w:val="47D511BD"/>
    <w:rsid w:val="4808150F"/>
    <w:rsid w:val="480D4DFD"/>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4765B"/>
    <w:rsid w:val="49F9104E"/>
    <w:rsid w:val="4A0244D3"/>
    <w:rsid w:val="4A255046"/>
    <w:rsid w:val="4A2E1525"/>
    <w:rsid w:val="4A5A756D"/>
    <w:rsid w:val="4A722B4C"/>
    <w:rsid w:val="4A785772"/>
    <w:rsid w:val="4A7A7433"/>
    <w:rsid w:val="4A842E43"/>
    <w:rsid w:val="4A886D1D"/>
    <w:rsid w:val="4A89105B"/>
    <w:rsid w:val="4A955EEB"/>
    <w:rsid w:val="4AA341CC"/>
    <w:rsid w:val="4AB203DB"/>
    <w:rsid w:val="4AC13295"/>
    <w:rsid w:val="4AC31003"/>
    <w:rsid w:val="4AC40F4C"/>
    <w:rsid w:val="4AC91D29"/>
    <w:rsid w:val="4AD25F33"/>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1A4990"/>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0346C"/>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6C6998"/>
    <w:rsid w:val="4F844A99"/>
    <w:rsid w:val="4F8F6520"/>
    <w:rsid w:val="4F94662C"/>
    <w:rsid w:val="4FA54C20"/>
    <w:rsid w:val="4FAB774E"/>
    <w:rsid w:val="4FB00163"/>
    <w:rsid w:val="4FB208E7"/>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3547D"/>
    <w:rsid w:val="50BB6306"/>
    <w:rsid w:val="50C12EDC"/>
    <w:rsid w:val="50CD2E4B"/>
    <w:rsid w:val="50D8533B"/>
    <w:rsid w:val="50DA0A9E"/>
    <w:rsid w:val="50ED21B8"/>
    <w:rsid w:val="50F31CB9"/>
    <w:rsid w:val="50F66F3D"/>
    <w:rsid w:val="50F8688B"/>
    <w:rsid w:val="50FA27BD"/>
    <w:rsid w:val="50FC4E36"/>
    <w:rsid w:val="51002FFC"/>
    <w:rsid w:val="5105169B"/>
    <w:rsid w:val="51062881"/>
    <w:rsid w:val="510861B3"/>
    <w:rsid w:val="510956BD"/>
    <w:rsid w:val="5114696C"/>
    <w:rsid w:val="5121766A"/>
    <w:rsid w:val="51230220"/>
    <w:rsid w:val="513B53C3"/>
    <w:rsid w:val="513E7AC2"/>
    <w:rsid w:val="513F6CC6"/>
    <w:rsid w:val="51471753"/>
    <w:rsid w:val="514B684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94756"/>
    <w:rsid w:val="520D7B42"/>
    <w:rsid w:val="52175F05"/>
    <w:rsid w:val="52272B85"/>
    <w:rsid w:val="52284E31"/>
    <w:rsid w:val="522A5519"/>
    <w:rsid w:val="523E09B5"/>
    <w:rsid w:val="524053B4"/>
    <w:rsid w:val="52431715"/>
    <w:rsid w:val="52687B2A"/>
    <w:rsid w:val="526E0E82"/>
    <w:rsid w:val="527901C6"/>
    <w:rsid w:val="528241AF"/>
    <w:rsid w:val="52831D64"/>
    <w:rsid w:val="528F330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C3F9F"/>
    <w:rsid w:val="53210238"/>
    <w:rsid w:val="532F77EA"/>
    <w:rsid w:val="53343870"/>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7D5FDD"/>
    <w:rsid w:val="54B06F11"/>
    <w:rsid w:val="54B56DF4"/>
    <w:rsid w:val="54B93943"/>
    <w:rsid w:val="54BE5578"/>
    <w:rsid w:val="54BF52B5"/>
    <w:rsid w:val="54D202CA"/>
    <w:rsid w:val="54D54E59"/>
    <w:rsid w:val="54DD41DB"/>
    <w:rsid w:val="54DE6BB8"/>
    <w:rsid w:val="54ED3D78"/>
    <w:rsid w:val="54F52BA3"/>
    <w:rsid w:val="54F54E04"/>
    <w:rsid w:val="55000F83"/>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707A2"/>
    <w:rsid w:val="55DD6F2A"/>
    <w:rsid w:val="55E73480"/>
    <w:rsid w:val="55E8339E"/>
    <w:rsid w:val="55F06771"/>
    <w:rsid w:val="560912EE"/>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2657E3"/>
    <w:rsid w:val="5732705F"/>
    <w:rsid w:val="57351D6F"/>
    <w:rsid w:val="573B7F99"/>
    <w:rsid w:val="576476C1"/>
    <w:rsid w:val="576E1940"/>
    <w:rsid w:val="57756BF9"/>
    <w:rsid w:val="57770501"/>
    <w:rsid w:val="577B3337"/>
    <w:rsid w:val="577D4F28"/>
    <w:rsid w:val="578B1816"/>
    <w:rsid w:val="579C4F51"/>
    <w:rsid w:val="57A33734"/>
    <w:rsid w:val="57AB6ADD"/>
    <w:rsid w:val="57B7178E"/>
    <w:rsid w:val="57B76EED"/>
    <w:rsid w:val="57BD72A7"/>
    <w:rsid w:val="57BE5838"/>
    <w:rsid w:val="57BF764E"/>
    <w:rsid w:val="57CB35DF"/>
    <w:rsid w:val="57D82354"/>
    <w:rsid w:val="57F43675"/>
    <w:rsid w:val="57FC0156"/>
    <w:rsid w:val="57FC07D9"/>
    <w:rsid w:val="57FF6992"/>
    <w:rsid w:val="58036FF1"/>
    <w:rsid w:val="580F1B21"/>
    <w:rsid w:val="581B7E79"/>
    <w:rsid w:val="5837438C"/>
    <w:rsid w:val="58420FA1"/>
    <w:rsid w:val="58500F22"/>
    <w:rsid w:val="58587379"/>
    <w:rsid w:val="585D72B5"/>
    <w:rsid w:val="586D57A3"/>
    <w:rsid w:val="587917A0"/>
    <w:rsid w:val="587A4288"/>
    <w:rsid w:val="5880052B"/>
    <w:rsid w:val="588E3967"/>
    <w:rsid w:val="589E7444"/>
    <w:rsid w:val="58AD27D9"/>
    <w:rsid w:val="58B169A2"/>
    <w:rsid w:val="58B9636C"/>
    <w:rsid w:val="58C37133"/>
    <w:rsid w:val="58C749B9"/>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72466D"/>
    <w:rsid w:val="59860400"/>
    <w:rsid w:val="5987482A"/>
    <w:rsid w:val="598A58C2"/>
    <w:rsid w:val="598C6F19"/>
    <w:rsid w:val="599C49A8"/>
    <w:rsid w:val="59A252D5"/>
    <w:rsid w:val="59A36725"/>
    <w:rsid w:val="59AD4E2E"/>
    <w:rsid w:val="59B14918"/>
    <w:rsid w:val="59B21BF9"/>
    <w:rsid w:val="59B37D53"/>
    <w:rsid w:val="59B80C41"/>
    <w:rsid w:val="59BB4EA3"/>
    <w:rsid w:val="59C10A96"/>
    <w:rsid w:val="59DC446C"/>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EE2993"/>
    <w:rsid w:val="5DFD51DB"/>
    <w:rsid w:val="5E0B017F"/>
    <w:rsid w:val="5E0B0848"/>
    <w:rsid w:val="5E1D4A67"/>
    <w:rsid w:val="5E1F2E4C"/>
    <w:rsid w:val="5E237029"/>
    <w:rsid w:val="5E3358BB"/>
    <w:rsid w:val="5E3A3BD1"/>
    <w:rsid w:val="5E3E6E2C"/>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24F"/>
    <w:rsid w:val="5F6E768C"/>
    <w:rsid w:val="5F875C0C"/>
    <w:rsid w:val="5F89013A"/>
    <w:rsid w:val="5F8A0701"/>
    <w:rsid w:val="5F8F0B9E"/>
    <w:rsid w:val="5F8F267A"/>
    <w:rsid w:val="5F941274"/>
    <w:rsid w:val="5F99518A"/>
    <w:rsid w:val="5F9A540B"/>
    <w:rsid w:val="5FAB7F08"/>
    <w:rsid w:val="5FB7185B"/>
    <w:rsid w:val="5FB94C48"/>
    <w:rsid w:val="5FBE576C"/>
    <w:rsid w:val="5FDE327E"/>
    <w:rsid w:val="5FEB4E90"/>
    <w:rsid w:val="5FF37587"/>
    <w:rsid w:val="5FF85D1E"/>
    <w:rsid w:val="5FFE57B7"/>
    <w:rsid w:val="5FFF04A2"/>
    <w:rsid w:val="60060CD5"/>
    <w:rsid w:val="60085AA3"/>
    <w:rsid w:val="600E362B"/>
    <w:rsid w:val="60183392"/>
    <w:rsid w:val="601A4CB1"/>
    <w:rsid w:val="601B56CB"/>
    <w:rsid w:val="60237FFC"/>
    <w:rsid w:val="602C236D"/>
    <w:rsid w:val="603114E4"/>
    <w:rsid w:val="603967D7"/>
    <w:rsid w:val="603D3325"/>
    <w:rsid w:val="604040A8"/>
    <w:rsid w:val="604233CA"/>
    <w:rsid w:val="60470CE3"/>
    <w:rsid w:val="60485D19"/>
    <w:rsid w:val="604D29BA"/>
    <w:rsid w:val="606711B4"/>
    <w:rsid w:val="60673C40"/>
    <w:rsid w:val="606A52D4"/>
    <w:rsid w:val="606C5678"/>
    <w:rsid w:val="607A0897"/>
    <w:rsid w:val="607C3753"/>
    <w:rsid w:val="607F6EAB"/>
    <w:rsid w:val="608D1D4E"/>
    <w:rsid w:val="60911FEF"/>
    <w:rsid w:val="60923D36"/>
    <w:rsid w:val="6092569C"/>
    <w:rsid w:val="609B023D"/>
    <w:rsid w:val="609D0F5A"/>
    <w:rsid w:val="60AC72CC"/>
    <w:rsid w:val="60AD0357"/>
    <w:rsid w:val="60B004BE"/>
    <w:rsid w:val="60B6381B"/>
    <w:rsid w:val="60BA604C"/>
    <w:rsid w:val="60C302BA"/>
    <w:rsid w:val="60C30855"/>
    <w:rsid w:val="60C338B1"/>
    <w:rsid w:val="60D4742F"/>
    <w:rsid w:val="60D67C80"/>
    <w:rsid w:val="60D95276"/>
    <w:rsid w:val="60E06DEB"/>
    <w:rsid w:val="60E51841"/>
    <w:rsid w:val="61110088"/>
    <w:rsid w:val="611647A0"/>
    <w:rsid w:val="613F2524"/>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C60326"/>
    <w:rsid w:val="61D43A2B"/>
    <w:rsid w:val="61E34474"/>
    <w:rsid w:val="61ED6D6A"/>
    <w:rsid w:val="61FF316E"/>
    <w:rsid w:val="62014BDB"/>
    <w:rsid w:val="621542CB"/>
    <w:rsid w:val="621C2930"/>
    <w:rsid w:val="624263A2"/>
    <w:rsid w:val="625272C3"/>
    <w:rsid w:val="626A1B4F"/>
    <w:rsid w:val="62715337"/>
    <w:rsid w:val="6280204D"/>
    <w:rsid w:val="6290769B"/>
    <w:rsid w:val="62943D08"/>
    <w:rsid w:val="629718F1"/>
    <w:rsid w:val="62A05735"/>
    <w:rsid w:val="62A411F8"/>
    <w:rsid w:val="62A81A26"/>
    <w:rsid w:val="62B0109F"/>
    <w:rsid w:val="62BA7A46"/>
    <w:rsid w:val="62C17689"/>
    <w:rsid w:val="62C376AC"/>
    <w:rsid w:val="62CE13CB"/>
    <w:rsid w:val="62D2197B"/>
    <w:rsid w:val="62DB028F"/>
    <w:rsid w:val="62EE4623"/>
    <w:rsid w:val="62F214BD"/>
    <w:rsid w:val="62F6011A"/>
    <w:rsid w:val="62FD2BA9"/>
    <w:rsid w:val="6314586E"/>
    <w:rsid w:val="6327422B"/>
    <w:rsid w:val="6328597C"/>
    <w:rsid w:val="633B249F"/>
    <w:rsid w:val="633D1842"/>
    <w:rsid w:val="635123F0"/>
    <w:rsid w:val="63552D76"/>
    <w:rsid w:val="6359778B"/>
    <w:rsid w:val="635B63E3"/>
    <w:rsid w:val="63677698"/>
    <w:rsid w:val="63771D13"/>
    <w:rsid w:val="638C3395"/>
    <w:rsid w:val="63B37325"/>
    <w:rsid w:val="63B811CF"/>
    <w:rsid w:val="63B82D87"/>
    <w:rsid w:val="63BA3154"/>
    <w:rsid w:val="63C509F9"/>
    <w:rsid w:val="63CA2E8B"/>
    <w:rsid w:val="63CF097D"/>
    <w:rsid w:val="63D4153E"/>
    <w:rsid w:val="63DA0FA3"/>
    <w:rsid w:val="63DC7755"/>
    <w:rsid w:val="63E43D21"/>
    <w:rsid w:val="63E774B3"/>
    <w:rsid w:val="63F24AD5"/>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16DBE"/>
    <w:rsid w:val="64A7467B"/>
    <w:rsid w:val="64B53322"/>
    <w:rsid w:val="64C41B57"/>
    <w:rsid w:val="64C61AF8"/>
    <w:rsid w:val="64C86505"/>
    <w:rsid w:val="64E65F95"/>
    <w:rsid w:val="64EB5728"/>
    <w:rsid w:val="64FA211B"/>
    <w:rsid w:val="64FB4412"/>
    <w:rsid w:val="64FE700F"/>
    <w:rsid w:val="6500327F"/>
    <w:rsid w:val="6503698F"/>
    <w:rsid w:val="6506609B"/>
    <w:rsid w:val="65083216"/>
    <w:rsid w:val="650A57D3"/>
    <w:rsid w:val="65460728"/>
    <w:rsid w:val="654835A8"/>
    <w:rsid w:val="654C7056"/>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2C45D9"/>
    <w:rsid w:val="67302DC3"/>
    <w:rsid w:val="67316C6B"/>
    <w:rsid w:val="6734198F"/>
    <w:rsid w:val="674318B2"/>
    <w:rsid w:val="674D4B22"/>
    <w:rsid w:val="67570422"/>
    <w:rsid w:val="675D31B4"/>
    <w:rsid w:val="67611575"/>
    <w:rsid w:val="67625A89"/>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8FB56E3"/>
    <w:rsid w:val="69123F86"/>
    <w:rsid w:val="691C1D81"/>
    <w:rsid w:val="691C3525"/>
    <w:rsid w:val="691C4B46"/>
    <w:rsid w:val="69216128"/>
    <w:rsid w:val="69250799"/>
    <w:rsid w:val="69280874"/>
    <w:rsid w:val="692E74C3"/>
    <w:rsid w:val="69307671"/>
    <w:rsid w:val="695700F7"/>
    <w:rsid w:val="695D6B21"/>
    <w:rsid w:val="69611EE7"/>
    <w:rsid w:val="69621F5B"/>
    <w:rsid w:val="696C708E"/>
    <w:rsid w:val="696F4D5D"/>
    <w:rsid w:val="69850877"/>
    <w:rsid w:val="698C13C5"/>
    <w:rsid w:val="69C12919"/>
    <w:rsid w:val="69C71624"/>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CD3503"/>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DD78C3"/>
    <w:rsid w:val="6BE71622"/>
    <w:rsid w:val="6BE727F5"/>
    <w:rsid w:val="6BF021D6"/>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3ACE"/>
    <w:rsid w:val="6CC92E85"/>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A91C0A"/>
    <w:rsid w:val="6EB169D3"/>
    <w:rsid w:val="6EB21539"/>
    <w:rsid w:val="6EB829B1"/>
    <w:rsid w:val="6EB978A9"/>
    <w:rsid w:val="6ECC3A24"/>
    <w:rsid w:val="6ED86D3E"/>
    <w:rsid w:val="6EE9744F"/>
    <w:rsid w:val="6EEA2AC7"/>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C186A"/>
    <w:rsid w:val="70473C04"/>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F00B2"/>
    <w:rsid w:val="71702748"/>
    <w:rsid w:val="71773350"/>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1138"/>
    <w:rsid w:val="72AC5E95"/>
    <w:rsid w:val="72B33FBD"/>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316C41"/>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B0552C"/>
    <w:rsid w:val="78BF32A9"/>
    <w:rsid w:val="78C34D95"/>
    <w:rsid w:val="78C53485"/>
    <w:rsid w:val="78C6693F"/>
    <w:rsid w:val="78C71D09"/>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6135C"/>
    <w:rsid w:val="7AAF4757"/>
    <w:rsid w:val="7AB53126"/>
    <w:rsid w:val="7AB76FE8"/>
    <w:rsid w:val="7AB8122B"/>
    <w:rsid w:val="7ACC526F"/>
    <w:rsid w:val="7ACD5587"/>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25D57"/>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A465C"/>
    <w:rsid w:val="7C2B3EF5"/>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11A09"/>
    <w:rsid w:val="7CF26588"/>
    <w:rsid w:val="7CF565D7"/>
    <w:rsid w:val="7CF7605D"/>
    <w:rsid w:val="7CF867A7"/>
    <w:rsid w:val="7CFA3A46"/>
    <w:rsid w:val="7CFC78A1"/>
    <w:rsid w:val="7D0F5720"/>
    <w:rsid w:val="7D186F3E"/>
    <w:rsid w:val="7D24652E"/>
    <w:rsid w:val="7D2561FD"/>
    <w:rsid w:val="7D2E198F"/>
    <w:rsid w:val="7D342E03"/>
    <w:rsid w:val="7D355821"/>
    <w:rsid w:val="7D3932C9"/>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0040"/>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5"/>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8</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2025-11-07T08:27:16Z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653A7B559FAA451AB5F53AE04BE5189B</vt:lpwstr>
  </property>
</Properties>
</file>